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Layout w:type="fixed"/>
        <w:tblLook w:val="04A0" w:firstRow="1" w:lastRow="0" w:firstColumn="1" w:lastColumn="0" w:noHBand="0" w:noVBand="1"/>
      </w:tblPr>
      <w:tblGrid>
        <w:gridCol w:w="2438"/>
        <w:gridCol w:w="6601"/>
      </w:tblGrid>
      <w:tr w:rsidR="00CE544A" w:rsidRPr="00975B07" w:rsidTr="00F800DC">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601" w:type="dxa"/>
            <w:shd w:val="clear" w:color="auto" w:fill="auto"/>
          </w:tcPr>
          <w:p w:rsidR="00F445B1" w:rsidRPr="00F95BC9" w:rsidRDefault="0075179D" w:rsidP="004A6D2F">
            <w:pPr>
              <w:rPr>
                <w:rStyle w:val="Firstpagetablebold"/>
              </w:rPr>
            </w:pPr>
            <w:r>
              <w:rPr>
                <w:rStyle w:val="Firstpagetablebold"/>
              </w:rPr>
              <w:t>Cabinet</w:t>
            </w:r>
          </w:p>
        </w:tc>
      </w:tr>
      <w:tr w:rsidR="00CE544A" w:rsidRPr="00975B07" w:rsidTr="00F800DC">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601" w:type="dxa"/>
            <w:shd w:val="clear" w:color="auto" w:fill="auto"/>
          </w:tcPr>
          <w:p w:rsidR="00F445B1" w:rsidRPr="001356F1" w:rsidRDefault="00A707C1" w:rsidP="0075179D">
            <w:pPr>
              <w:rPr>
                <w:b/>
              </w:rPr>
            </w:pPr>
            <w:r>
              <w:rPr>
                <w:rStyle w:val="Firstpagetablebold"/>
              </w:rPr>
              <w:t xml:space="preserve">13 </w:t>
            </w:r>
            <w:r w:rsidR="0075179D">
              <w:rPr>
                <w:rStyle w:val="Firstpagetablebold"/>
              </w:rPr>
              <w:t xml:space="preserve">November </w:t>
            </w:r>
            <w:r>
              <w:rPr>
                <w:rStyle w:val="Firstpagetablebold"/>
              </w:rPr>
              <w:t>201</w:t>
            </w:r>
            <w:r w:rsidR="0075179D">
              <w:rPr>
                <w:rStyle w:val="Firstpagetablebold"/>
              </w:rPr>
              <w:t>9</w:t>
            </w:r>
          </w:p>
        </w:tc>
      </w:tr>
      <w:tr w:rsidR="00CE544A" w:rsidRPr="00975B07" w:rsidTr="00F800DC">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601" w:type="dxa"/>
            <w:shd w:val="clear" w:color="auto" w:fill="auto"/>
          </w:tcPr>
          <w:p w:rsidR="00F445B1" w:rsidRPr="00BF320E" w:rsidRDefault="00BF320E" w:rsidP="00290C82">
            <w:pPr>
              <w:spacing w:after="0"/>
              <w:rPr>
                <w:rStyle w:val="Firstpagetablebold"/>
                <w:rFonts w:cs="Arial"/>
                <w:bCs/>
                <w:color w:val="auto"/>
                <w:lang w:eastAsia="en-US"/>
              </w:rPr>
            </w:pPr>
            <w:r w:rsidRPr="00BF320E">
              <w:rPr>
                <w:rFonts w:cs="Arial"/>
                <w:b/>
                <w:bCs/>
                <w:color w:val="auto"/>
                <w:lang w:eastAsia="en-US"/>
              </w:rPr>
              <w:t>Head of Planning</w:t>
            </w:r>
          </w:p>
        </w:tc>
      </w:tr>
      <w:tr w:rsidR="00CE544A" w:rsidRPr="00975B07" w:rsidTr="00F800DC">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601" w:type="dxa"/>
            <w:shd w:val="clear" w:color="auto" w:fill="auto"/>
          </w:tcPr>
          <w:p w:rsidR="00F445B1" w:rsidRPr="00F800DC" w:rsidRDefault="00BF320E" w:rsidP="0075179D">
            <w:pPr>
              <w:rPr>
                <w:rStyle w:val="Firstpagetablebold"/>
              </w:rPr>
            </w:pPr>
            <w:r w:rsidRPr="00F800DC">
              <w:rPr>
                <w:rStyle w:val="Firstpagetablebold"/>
              </w:rPr>
              <w:t xml:space="preserve">Oxford Local </w:t>
            </w:r>
            <w:r w:rsidR="00F72FB1" w:rsidRPr="00F800DC">
              <w:rPr>
                <w:rStyle w:val="Firstpagetablebold"/>
              </w:rPr>
              <w:t xml:space="preserve">Plan Local </w:t>
            </w:r>
            <w:r w:rsidRPr="00F800DC">
              <w:rPr>
                <w:rStyle w:val="Firstpagetablebold"/>
              </w:rPr>
              <w:t xml:space="preserve">Development Scheme </w:t>
            </w:r>
            <w:r w:rsidR="0075179D" w:rsidRPr="00F800DC">
              <w:rPr>
                <w:rStyle w:val="Firstpagetablebold"/>
              </w:rPr>
              <w:t>2019</w:t>
            </w:r>
            <w:r w:rsidRPr="00F800DC">
              <w:rPr>
                <w:rStyle w:val="Firstpagetablebold"/>
              </w:rPr>
              <w:t>-</w:t>
            </w:r>
            <w:r w:rsidR="0075179D" w:rsidRPr="00F800DC">
              <w:rPr>
                <w:rStyle w:val="Firstpagetablebold"/>
              </w:rPr>
              <w:t>22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A707C1" w:rsidRDefault="009564AA" w:rsidP="00A310F6">
            <w:r w:rsidRPr="00A707C1">
              <w:t xml:space="preserve">To </w:t>
            </w:r>
            <w:r w:rsidR="00A310F6">
              <w:t>present</w:t>
            </w:r>
            <w:r w:rsidR="00A310F6" w:rsidRPr="00A707C1">
              <w:t xml:space="preserve"> </w:t>
            </w:r>
            <w:r w:rsidR="00F72FB1">
              <w:t xml:space="preserve">the updated </w:t>
            </w:r>
            <w:r w:rsidRPr="00A707C1">
              <w:t>programme for the preparation of documents that will form the Council’s Local Plan</w:t>
            </w:r>
            <w:r w:rsidR="00A310F6">
              <w:t xml:space="preserve"> for approval</w:t>
            </w:r>
            <w:r w:rsidRPr="00A707C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A707C1" w:rsidRDefault="00D5547E" w:rsidP="00A707C1">
            <w:r w:rsidRPr="00A707C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A707C1" w:rsidRDefault="00D5547E" w:rsidP="00A707C1">
            <w:r w:rsidRPr="00A707C1">
              <w:t xml:space="preserve">Councillor </w:t>
            </w:r>
            <w:r w:rsidR="00A707C1" w:rsidRPr="00A707C1">
              <w:t>Alex Hollingsworth</w:t>
            </w:r>
            <w:r w:rsidRPr="00A707C1">
              <w:t xml:space="preserve">, </w:t>
            </w:r>
            <w:r w:rsidR="00A707C1" w:rsidRPr="00A707C1">
              <w:t>Planning 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9564AA" w:rsidRDefault="00D432D3" w:rsidP="005F7F7E">
            <w:pPr>
              <w:rPr>
                <w:highlight w:val="yellow"/>
              </w:rPr>
            </w:pPr>
            <w:r>
              <w:t>A Vibrant and Sustainable Economy; Meeting Housing Needs; Strong and Active Communities; A Clean and Green Oxford</w:t>
            </w:r>
            <w:r w:rsidRPr="001356F1">
              <w:t>.</w:t>
            </w:r>
          </w:p>
        </w:tc>
      </w:tr>
      <w:tr w:rsidR="00D5547E" w:rsidTr="0080749A">
        <w:tc>
          <w:tcPr>
            <w:tcW w:w="2438" w:type="dxa"/>
            <w:gridSpan w:val="2"/>
            <w:tcBorders>
              <w:top w:val="nil"/>
              <w:left w:val="single" w:sz="8" w:space="0" w:color="000000"/>
              <w:bottom w:val="nil"/>
              <w:right w:val="nil"/>
            </w:tcBorders>
            <w:hideMark/>
          </w:tcPr>
          <w:p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rsidR="00D5547E" w:rsidRPr="00D432D3" w:rsidRDefault="00D432D3" w:rsidP="00F72FB1">
            <w:r w:rsidRPr="00D432D3">
              <w:t xml:space="preserve">Local </w:t>
            </w:r>
            <w:r w:rsidR="00F72FB1">
              <w:t xml:space="preserve">Plan </w:t>
            </w:r>
          </w:p>
        </w:tc>
      </w:tr>
      <w:tr w:rsidR="005F7F7E" w:rsidRPr="00975B07" w:rsidTr="00A46E98">
        <w:trPr>
          <w:trHeight w:val="413"/>
        </w:trPr>
        <w:tc>
          <w:tcPr>
            <w:tcW w:w="8845" w:type="dxa"/>
            <w:gridSpan w:val="3"/>
            <w:tcBorders>
              <w:bottom w:val="single" w:sz="8" w:space="0" w:color="000000"/>
            </w:tcBorders>
          </w:tcPr>
          <w:p w:rsidR="005F7F7E" w:rsidRPr="00975B07" w:rsidRDefault="00F800DC" w:rsidP="00F800DC">
            <w:r>
              <w:rPr>
                <w:rStyle w:val="Firstpagetablebold"/>
              </w:rPr>
              <w:t>Recommendation</w:t>
            </w:r>
            <w:r w:rsidR="005F7F7E">
              <w:rPr>
                <w:rStyle w:val="Firstpagetablebold"/>
              </w:rPr>
              <w:t>:</w:t>
            </w:r>
            <w:r>
              <w:rPr>
                <w:rStyle w:val="Firstpagetablebold"/>
              </w:rPr>
              <w:t xml:space="preserve"> </w:t>
            </w:r>
            <w:r w:rsidR="005F7F7E" w:rsidRPr="00F800DC">
              <w:rPr>
                <w:rStyle w:val="Firstpagetablebold"/>
                <w:b w:val="0"/>
              </w:rPr>
              <w:t xml:space="preserve">That </w:t>
            </w:r>
            <w:r>
              <w:rPr>
                <w:rStyle w:val="Firstpagetablebold"/>
                <w:b w:val="0"/>
              </w:rPr>
              <w:t xml:space="preserve">Cabinet </w:t>
            </w:r>
            <w:r w:rsidR="005F7F7E" w:rsidRPr="00F800DC">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C27FE" w:rsidP="0075179D">
            <w:bookmarkStart w:id="0" w:name="_GoBack"/>
            <w:r>
              <w:rPr>
                <w:rFonts w:cs="Arial"/>
              </w:rPr>
              <w:t>A</w:t>
            </w:r>
            <w:r w:rsidR="009564AA">
              <w:rPr>
                <w:rFonts w:cs="Arial"/>
                <w:bCs/>
              </w:rPr>
              <w:t xml:space="preserve">pprove the Oxford Local Development Scheme </w:t>
            </w:r>
            <w:r w:rsidR="0075179D">
              <w:rPr>
                <w:rFonts w:cs="Arial"/>
                <w:bCs/>
              </w:rPr>
              <w:t>2019-22</w:t>
            </w:r>
            <w:bookmarkEnd w:id="0"/>
          </w:p>
        </w:tc>
      </w:tr>
      <w:tr w:rsidR="00966D42" w:rsidRPr="00975B0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1356F1" w:rsidRDefault="009564AA" w:rsidP="0075179D">
            <w:r>
              <w:rPr>
                <w:rFonts w:cs="Arial"/>
              </w:rPr>
              <w:t xml:space="preserve">Local Development Scheme </w:t>
            </w:r>
            <w:r w:rsidR="0075179D">
              <w:rPr>
                <w:rFonts w:cs="Arial"/>
              </w:rPr>
              <w:t>2019-22</w:t>
            </w:r>
          </w:p>
        </w:tc>
      </w:tr>
      <w:tr w:rsidR="00ED5860" w:rsidRPr="00975B0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9564AA" w:rsidP="004A6D2F">
            <w:r>
              <w:rPr>
                <w:rFonts w:cs="Arial"/>
              </w:rPr>
              <w:t>Risk Assessment</w:t>
            </w:r>
          </w:p>
        </w:tc>
      </w:tr>
      <w:tr w:rsidR="009564AA" w:rsidRPr="00975B0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9564AA" w:rsidRPr="00975B07" w:rsidRDefault="009564AA" w:rsidP="004A6D2F"/>
        </w:tc>
        <w:tc>
          <w:tcPr>
            <w:tcW w:w="6407" w:type="dxa"/>
            <w:tcBorders>
              <w:top w:val="nil"/>
              <w:left w:val="nil"/>
              <w:bottom w:val="single" w:sz="8" w:space="0" w:color="000000"/>
              <w:right w:val="single" w:sz="8" w:space="0" w:color="000000"/>
            </w:tcBorders>
          </w:tcPr>
          <w:p w:rsidR="009564AA" w:rsidRPr="001356F1" w:rsidRDefault="009564AA"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9564AA" w:rsidRDefault="009564AA" w:rsidP="009564AA">
      <w:pPr>
        <w:pStyle w:val="ListParagraph"/>
        <w:numPr>
          <w:ilvl w:val="0"/>
          <w:numId w:val="34"/>
        </w:numPr>
        <w:tabs>
          <w:tab w:val="clear" w:pos="426"/>
        </w:tabs>
        <w:spacing w:after="0"/>
        <w:ind w:left="567" w:hanging="567"/>
        <w:contextualSpacing/>
        <w:rPr>
          <w:rFonts w:cs="Arial"/>
        </w:rPr>
      </w:pPr>
      <w:r w:rsidRPr="00F6027E">
        <w:rPr>
          <w:rFonts w:cs="Arial"/>
        </w:rPr>
        <w:t xml:space="preserve">The </w:t>
      </w:r>
      <w:r w:rsidR="00387B04">
        <w:rPr>
          <w:rFonts w:cs="Arial"/>
        </w:rPr>
        <w:t xml:space="preserve">Oxford </w:t>
      </w:r>
      <w:r w:rsidRPr="00F6027E">
        <w:rPr>
          <w:rFonts w:cs="Arial"/>
        </w:rPr>
        <w:t>L</w:t>
      </w:r>
      <w:r>
        <w:rPr>
          <w:rFonts w:cs="Arial"/>
        </w:rPr>
        <w:t xml:space="preserve">ocal </w:t>
      </w:r>
      <w:r w:rsidRPr="00F6027E">
        <w:rPr>
          <w:rFonts w:cs="Arial"/>
        </w:rPr>
        <w:t>D</w:t>
      </w:r>
      <w:r>
        <w:rPr>
          <w:rFonts w:cs="Arial"/>
        </w:rPr>
        <w:t xml:space="preserve">evelopment </w:t>
      </w:r>
      <w:r w:rsidRPr="00F6027E">
        <w:rPr>
          <w:rFonts w:cs="Arial"/>
        </w:rPr>
        <w:t>S</w:t>
      </w:r>
      <w:r>
        <w:rPr>
          <w:rFonts w:cs="Arial"/>
        </w:rPr>
        <w:t xml:space="preserve">cheme (LDS) </w:t>
      </w:r>
      <w:r w:rsidRPr="00F6027E">
        <w:rPr>
          <w:rFonts w:cs="Arial"/>
        </w:rPr>
        <w:t xml:space="preserve">is a project plan </w:t>
      </w:r>
      <w:r>
        <w:rPr>
          <w:rFonts w:cs="Arial"/>
        </w:rPr>
        <w:t>that</w:t>
      </w:r>
      <w:r w:rsidRPr="00F6027E">
        <w:rPr>
          <w:rFonts w:cs="Arial"/>
        </w:rPr>
        <w:t xml:space="preserve"> </w:t>
      </w:r>
      <w:r>
        <w:rPr>
          <w:rFonts w:cs="Arial"/>
        </w:rPr>
        <w:t>sets out timescales for the preparation and revision of documents in Oxford</w:t>
      </w:r>
      <w:r w:rsidR="00387B04">
        <w:rPr>
          <w:rFonts w:cs="Arial"/>
        </w:rPr>
        <w:t xml:space="preserve"> City Council</w:t>
      </w:r>
      <w:r>
        <w:rPr>
          <w:rFonts w:cs="Arial"/>
        </w:rPr>
        <w:t xml:space="preserve">’s Local Plan and other planning policy documents. The term Local Plan can be used as the collective name for </w:t>
      </w:r>
      <w:r w:rsidR="009C27FE">
        <w:rPr>
          <w:rFonts w:cs="Arial"/>
        </w:rPr>
        <w:t>a</w:t>
      </w:r>
      <w:r>
        <w:rPr>
          <w:rFonts w:cs="Arial"/>
        </w:rPr>
        <w:t xml:space="preserve"> number of planning policy documents, including development plan documents and supplementary planning documents. It is also the name for the document that will contain the majority of </w:t>
      </w:r>
      <w:r w:rsidR="00387B04">
        <w:rPr>
          <w:rFonts w:cs="Arial"/>
        </w:rPr>
        <w:t xml:space="preserve">the Council’s </w:t>
      </w:r>
      <w:r>
        <w:rPr>
          <w:rFonts w:cs="Arial"/>
        </w:rPr>
        <w:t>statutory planning policies.</w:t>
      </w:r>
    </w:p>
    <w:p w:rsidR="009564AA" w:rsidRDefault="009564AA" w:rsidP="009564AA">
      <w:pPr>
        <w:pStyle w:val="ListParagraph"/>
        <w:numPr>
          <w:ilvl w:val="0"/>
          <w:numId w:val="0"/>
        </w:numPr>
        <w:ind w:left="426"/>
        <w:rPr>
          <w:rFonts w:cs="Arial"/>
        </w:rPr>
      </w:pPr>
    </w:p>
    <w:p w:rsidR="009564AA" w:rsidRPr="00205DFC" w:rsidRDefault="009564AA" w:rsidP="009564AA">
      <w:pPr>
        <w:pStyle w:val="ListParagraph"/>
        <w:numPr>
          <w:ilvl w:val="0"/>
          <w:numId w:val="34"/>
        </w:numPr>
        <w:tabs>
          <w:tab w:val="clear" w:pos="426"/>
        </w:tabs>
        <w:spacing w:after="0"/>
        <w:ind w:left="567" w:hanging="567"/>
        <w:contextualSpacing/>
        <w:rPr>
          <w:rFonts w:cs="Arial"/>
        </w:rPr>
      </w:pPr>
      <w:r>
        <w:rPr>
          <w:rFonts w:cs="Arial"/>
        </w:rPr>
        <w:t xml:space="preserve">The LDS provides details on what </w:t>
      </w:r>
      <w:r w:rsidR="00D432D3">
        <w:rPr>
          <w:rFonts w:cs="Arial"/>
        </w:rPr>
        <w:t>the</w:t>
      </w:r>
      <w:r>
        <w:rPr>
          <w:rFonts w:cs="Arial"/>
        </w:rPr>
        <w:t xml:space="preserve"> Local Plan will contain and the geographical area </w:t>
      </w:r>
      <w:r w:rsidR="00D432D3">
        <w:rPr>
          <w:rFonts w:cs="Arial"/>
        </w:rPr>
        <w:t>it</w:t>
      </w:r>
      <w:r>
        <w:rPr>
          <w:rFonts w:cs="Arial"/>
        </w:rPr>
        <w:t xml:space="preserve"> will cover. </w:t>
      </w:r>
      <w:r w:rsidRPr="00205DFC">
        <w:rPr>
          <w:rFonts w:cs="Arial"/>
        </w:rPr>
        <w:t xml:space="preserve">The LDS is an important tool to enable local communities and interested parties to keep track of the </w:t>
      </w:r>
      <w:r>
        <w:rPr>
          <w:rFonts w:cs="Arial"/>
        </w:rPr>
        <w:t>Local Plan document</w:t>
      </w:r>
      <w:r w:rsidRPr="00205DFC">
        <w:rPr>
          <w:rFonts w:cs="Arial"/>
        </w:rPr>
        <w:t>s</w:t>
      </w:r>
      <w:r w:rsidR="009C27FE">
        <w:rPr>
          <w:rFonts w:cs="Arial"/>
        </w:rPr>
        <w:t>’</w:t>
      </w:r>
      <w:r w:rsidRPr="00205DFC">
        <w:rPr>
          <w:rFonts w:cs="Arial"/>
        </w:rPr>
        <w:t xml:space="preserve"> progress and to </w:t>
      </w:r>
      <w:r w:rsidRPr="00205DFC">
        <w:rPr>
          <w:rFonts w:cs="Arial"/>
        </w:rPr>
        <w:lastRenderedPageBreak/>
        <w:t xml:space="preserve">ensure that they are aware of when opportunities for involvement are likely to arise. It is a statutory requirement that all local planning authorities prepare and maintain a LDS. </w:t>
      </w:r>
    </w:p>
    <w:p w:rsidR="009564AA" w:rsidRDefault="009564AA" w:rsidP="009564AA">
      <w:pPr>
        <w:pStyle w:val="ListParagraph"/>
        <w:numPr>
          <w:ilvl w:val="0"/>
          <w:numId w:val="0"/>
        </w:numPr>
        <w:ind w:left="426"/>
        <w:rPr>
          <w:rFonts w:cs="Arial"/>
        </w:rPr>
      </w:pPr>
    </w:p>
    <w:p w:rsidR="009564AA" w:rsidRDefault="009564AA" w:rsidP="009564AA">
      <w:pPr>
        <w:pStyle w:val="ListParagraph"/>
        <w:numPr>
          <w:ilvl w:val="0"/>
          <w:numId w:val="34"/>
        </w:numPr>
        <w:tabs>
          <w:tab w:val="clear" w:pos="426"/>
        </w:tabs>
        <w:spacing w:after="0"/>
        <w:ind w:left="567" w:hanging="567"/>
        <w:contextualSpacing/>
        <w:rPr>
          <w:rFonts w:cs="Arial"/>
        </w:rPr>
      </w:pPr>
      <w:r>
        <w:rPr>
          <w:rFonts w:cs="Arial"/>
        </w:rPr>
        <w:t>The lifespan of the Council’s current LDS is 201</w:t>
      </w:r>
      <w:r w:rsidR="0075179D">
        <w:rPr>
          <w:rFonts w:cs="Arial"/>
        </w:rPr>
        <w:t>8</w:t>
      </w:r>
      <w:r>
        <w:rPr>
          <w:rFonts w:cs="Arial"/>
        </w:rPr>
        <w:t>-</w:t>
      </w:r>
      <w:r w:rsidR="0075179D">
        <w:rPr>
          <w:rFonts w:cs="Arial"/>
        </w:rPr>
        <w:t>21</w:t>
      </w:r>
      <w:r>
        <w:rPr>
          <w:rFonts w:cs="Arial"/>
        </w:rPr>
        <w:t xml:space="preserve">. The LDS </w:t>
      </w:r>
      <w:r w:rsidR="00F72FB1">
        <w:rPr>
          <w:rFonts w:cs="Arial"/>
        </w:rPr>
        <w:t xml:space="preserve">is intended to be a dynamic document, updated at intervals to reflect the timetable for developing the </w:t>
      </w:r>
      <w:r w:rsidR="0075179D">
        <w:rPr>
          <w:rFonts w:cs="Arial"/>
        </w:rPr>
        <w:t>L</w:t>
      </w:r>
      <w:r w:rsidR="00F72FB1">
        <w:rPr>
          <w:rFonts w:cs="Arial"/>
        </w:rPr>
        <w:t xml:space="preserve">ocal </w:t>
      </w:r>
      <w:r w:rsidR="0075179D">
        <w:rPr>
          <w:rFonts w:cs="Arial"/>
        </w:rPr>
        <w:t>P</w:t>
      </w:r>
      <w:r w:rsidR="00F72FB1">
        <w:rPr>
          <w:rFonts w:cs="Arial"/>
        </w:rPr>
        <w:t xml:space="preserve">lan and other </w:t>
      </w:r>
      <w:r>
        <w:rPr>
          <w:rFonts w:cs="Arial"/>
        </w:rPr>
        <w:t xml:space="preserve">significant work programmes. The LDS </w:t>
      </w:r>
      <w:r w:rsidR="0075179D">
        <w:rPr>
          <w:rFonts w:cs="Arial"/>
        </w:rPr>
        <w:t>2019</w:t>
      </w:r>
      <w:r>
        <w:rPr>
          <w:rFonts w:cs="Arial"/>
        </w:rPr>
        <w:t>-</w:t>
      </w:r>
      <w:r w:rsidR="0075179D">
        <w:rPr>
          <w:rFonts w:cs="Arial"/>
        </w:rPr>
        <w:t>22</w:t>
      </w:r>
      <w:r w:rsidR="0075179D" w:rsidRPr="00232C61">
        <w:rPr>
          <w:rFonts w:cs="Arial"/>
        </w:rPr>
        <w:t xml:space="preserve"> </w:t>
      </w:r>
      <w:r w:rsidRPr="00232C61">
        <w:rPr>
          <w:rFonts w:cs="Arial"/>
        </w:rPr>
        <w:t xml:space="preserve">will come into effect from the date of approval by </w:t>
      </w:r>
      <w:r w:rsidR="0075179D">
        <w:rPr>
          <w:rFonts w:cs="Arial"/>
        </w:rPr>
        <w:t>Cabinet</w:t>
      </w:r>
      <w:r w:rsidR="0075179D" w:rsidRPr="00232C61">
        <w:rPr>
          <w:rFonts w:cs="Arial"/>
        </w:rPr>
        <w:t xml:space="preserve"> </w:t>
      </w:r>
      <w:r w:rsidRPr="00232C61">
        <w:rPr>
          <w:rFonts w:cs="Arial"/>
        </w:rPr>
        <w:t>and will su</w:t>
      </w:r>
      <w:r>
        <w:rPr>
          <w:rFonts w:cs="Arial"/>
        </w:rPr>
        <w:t xml:space="preserve">persede the existing LDS </w:t>
      </w:r>
      <w:r w:rsidR="0075179D">
        <w:rPr>
          <w:rFonts w:cs="Arial"/>
        </w:rPr>
        <w:t>2018</w:t>
      </w:r>
      <w:r>
        <w:rPr>
          <w:rFonts w:cs="Arial"/>
        </w:rPr>
        <w:t>-</w:t>
      </w:r>
      <w:r w:rsidR="0075179D">
        <w:rPr>
          <w:rFonts w:cs="Arial"/>
        </w:rPr>
        <w:t>21</w:t>
      </w:r>
      <w:r w:rsidRPr="00232C61">
        <w:rPr>
          <w:rFonts w:cs="Arial"/>
        </w:rPr>
        <w:t>.</w:t>
      </w:r>
    </w:p>
    <w:p w:rsidR="009564AA" w:rsidRPr="000A177A" w:rsidRDefault="009564AA" w:rsidP="009564AA">
      <w:pPr>
        <w:pStyle w:val="ListParagraph"/>
        <w:numPr>
          <w:ilvl w:val="0"/>
          <w:numId w:val="0"/>
        </w:numPr>
        <w:ind w:left="426"/>
        <w:rPr>
          <w:rFonts w:cs="Arial"/>
        </w:rPr>
      </w:pPr>
    </w:p>
    <w:p w:rsidR="00633578" w:rsidRPr="001356F1" w:rsidRDefault="007075BE" w:rsidP="00E87F7A">
      <w:pPr>
        <w:pStyle w:val="Heading1"/>
      </w:pPr>
      <w:r>
        <w:t>Oxford Local Plan 2036</w:t>
      </w:r>
    </w:p>
    <w:p w:rsidR="007075BE" w:rsidRPr="001E1987" w:rsidRDefault="007075BE" w:rsidP="00094872">
      <w:pPr>
        <w:pStyle w:val="ListParagraph"/>
        <w:numPr>
          <w:ilvl w:val="0"/>
          <w:numId w:val="34"/>
        </w:numPr>
        <w:tabs>
          <w:tab w:val="clear" w:pos="426"/>
          <w:tab w:val="left" w:pos="567"/>
        </w:tabs>
        <w:spacing w:after="0"/>
        <w:ind w:left="567" w:hanging="567"/>
      </w:pPr>
      <w:r>
        <w:t xml:space="preserve">The Council is currently in the process of producing a new </w:t>
      </w:r>
      <w:r w:rsidR="00EB1BAF">
        <w:t xml:space="preserve">Oxford </w:t>
      </w:r>
      <w:r>
        <w:t xml:space="preserve">Local Plan 2036, to replace most </w:t>
      </w:r>
      <w:r w:rsidR="00F72FB1">
        <w:t xml:space="preserve">of the </w:t>
      </w:r>
      <w:r>
        <w:t xml:space="preserve">existing documents containing planning policy (other than Area Action Plans). The </w:t>
      </w:r>
      <w:r w:rsidR="00EB1BAF">
        <w:t xml:space="preserve">Oxford </w:t>
      </w:r>
      <w:r>
        <w:t xml:space="preserve">Local Plan 2036 will </w:t>
      </w:r>
      <w:r w:rsidRPr="00232C61">
        <w:t xml:space="preserve">provide a long-term planning framework to deliver managed growth of the city to 2036. The new Local Plan will join up the Council’s corporate strategies, seeking to deliver the land use </w:t>
      </w:r>
      <w:r w:rsidR="00F72FB1">
        <w:t xml:space="preserve">and spatial </w:t>
      </w:r>
      <w:r w:rsidRPr="00232C61">
        <w:t>elements resulting from the Corporate Plan</w:t>
      </w:r>
      <w:r w:rsidR="00EB1BAF">
        <w:t xml:space="preserve"> and other corporate strategies</w:t>
      </w:r>
      <w:r w:rsidRPr="00232C61">
        <w:t xml:space="preserve">. It will </w:t>
      </w:r>
      <w:r>
        <w:t xml:space="preserve">also </w:t>
      </w:r>
      <w:r w:rsidRPr="00232C61">
        <w:t xml:space="preserve">reflect the vision or directional aspirations of </w:t>
      </w:r>
      <w:r w:rsidR="00630EBB">
        <w:t>the Council’s</w:t>
      </w:r>
      <w:r>
        <w:t xml:space="preserve"> wider partnership bodies including the Oxford Strategic Partnershi</w:t>
      </w:r>
      <w:r w:rsidR="00EB1BAF">
        <w:t xml:space="preserve">p, the Oxfordshire Growth Board </w:t>
      </w:r>
      <w:r>
        <w:t>and the Local Enterprise Partnership</w:t>
      </w:r>
      <w:r w:rsidRPr="00232C61">
        <w:t xml:space="preserve">, </w:t>
      </w:r>
      <w:r>
        <w:t xml:space="preserve">in </w:t>
      </w:r>
      <w:r w:rsidRPr="00232C61">
        <w:t>helping to deliver the Council’s economic strategy, housing strategy and green space strategy.</w:t>
      </w:r>
    </w:p>
    <w:p w:rsidR="00094872" w:rsidRDefault="00094872" w:rsidP="00094872">
      <w:pPr>
        <w:pStyle w:val="bParagraphtext"/>
        <w:numPr>
          <w:ilvl w:val="0"/>
          <w:numId w:val="0"/>
        </w:numPr>
        <w:tabs>
          <w:tab w:val="clear" w:pos="426"/>
          <w:tab w:val="left" w:pos="567"/>
        </w:tabs>
        <w:spacing w:after="0"/>
        <w:ind w:left="567"/>
      </w:pPr>
    </w:p>
    <w:p w:rsidR="00203BD0" w:rsidRDefault="007075BE" w:rsidP="00203BD0">
      <w:pPr>
        <w:pStyle w:val="bParagraphtext"/>
        <w:numPr>
          <w:ilvl w:val="0"/>
          <w:numId w:val="34"/>
        </w:numPr>
        <w:tabs>
          <w:tab w:val="clear" w:pos="426"/>
          <w:tab w:val="left" w:pos="567"/>
        </w:tabs>
        <w:spacing w:after="0"/>
        <w:ind w:left="567" w:hanging="567"/>
      </w:pPr>
      <w:r>
        <w:t>The LDS 201</w:t>
      </w:r>
      <w:r w:rsidR="0075179D">
        <w:t>9</w:t>
      </w:r>
      <w:r>
        <w:t>-</w:t>
      </w:r>
      <w:r w:rsidR="0075179D">
        <w:t xml:space="preserve">22 </w:t>
      </w:r>
      <w:r>
        <w:t>amends slightly the programme for production of the Oxford Local Plan 2036. The key amendments are:</w:t>
      </w:r>
    </w:p>
    <w:p w:rsidR="00203BD0" w:rsidRDefault="00203BD0" w:rsidP="00203BD0">
      <w:pPr>
        <w:pStyle w:val="bParagraphtext"/>
        <w:numPr>
          <w:ilvl w:val="0"/>
          <w:numId w:val="0"/>
        </w:numPr>
        <w:tabs>
          <w:tab w:val="clear" w:pos="426"/>
          <w:tab w:val="left" w:pos="567"/>
        </w:tabs>
        <w:spacing w:after="0"/>
        <w:ind w:left="567"/>
      </w:pPr>
    </w:p>
    <w:tbl>
      <w:tblPr>
        <w:tblStyle w:val="TableGrid"/>
        <w:tblW w:w="0" w:type="auto"/>
        <w:tblInd w:w="675" w:type="dxa"/>
        <w:tblLook w:val="04A0" w:firstRow="1" w:lastRow="0" w:firstColumn="1" w:lastColumn="0" w:noHBand="0" w:noVBand="1"/>
      </w:tblPr>
      <w:tblGrid>
        <w:gridCol w:w="4111"/>
        <w:gridCol w:w="2268"/>
        <w:gridCol w:w="2460"/>
      </w:tblGrid>
      <w:tr w:rsidR="00D5267E" w:rsidTr="00D5267E">
        <w:tc>
          <w:tcPr>
            <w:tcW w:w="4111" w:type="dxa"/>
          </w:tcPr>
          <w:p w:rsidR="00D5267E" w:rsidRPr="00D5267E" w:rsidRDefault="00D5267E" w:rsidP="00D5267E">
            <w:pPr>
              <w:pStyle w:val="bParagraphtext"/>
              <w:numPr>
                <w:ilvl w:val="0"/>
                <w:numId w:val="0"/>
              </w:numPr>
              <w:tabs>
                <w:tab w:val="clear" w:pos="426"/>
                <w:tab w:val="left" w:pos="567"/>
              </w:tabs>
              <w:rPr>
                <w:b/>
              </w:rPr>
            </w:pPr>
            <w:r>
              <w:rPr>
                <w:b/>
              </w:rPr>
              <w:t>Local Plan stage</w:t>
            </w:r>
          </w:p>
        </w:tc>
        <w:tc>
          <w:tcPr>
            <w:tcW w:w="2268" w:type="dxa"/>
          </w:tcPr>
          <w:p w:rsidR="00D5267E" w:rsidRPr="00D5267E" w:rsidRDefault="00D5267E" w:rsidP="0075179D">
            <w:pPr>
              <w:pStyle w:val="bParagraphtext"/>
              <w:numPr>
                <w:ilvl w:val="0"/>
                <w:numId w:val="0"/>
              </w:numPr>
              <w:tabs>
                <w:tab w:val="clear" w:pos="426"/>
                <w:tab w:val="left" w:pos="567"/>
              </w:tabs>
              <w:rPr>
                <w:b/>
              </w:rPr>
            </w:pPr>
            <w:r w:rsidRPr="00D5267E">
              <w:rPr>
                <w:b/>
              </w:rPr>
              <w:t xml:space="preserve">Formerly programmed for: (LDS </w:t>
            </w:r>
            <w:r w:rsidR="0075179D" w:rsidRPr="00D5267E">
              <w:rPr>
                <w:b/>
              </w:rPr>
              <w:t>201</w:t>
            </w:r>
            <w:r w:rsidR="0075179D">
              <w:rPr>
                <w:b/>
              </w:rPr>
              <w:t>8</w:t>
            </w:r>
            <w:r w:rsidRPr="00D5267E">
              <w:rPr>
                <w:b/>
              </w:rPr>
              <w:t>-</w:t>
            </w:r>
            <w:r w:rsidR="0075179D">
              <w:rPr>
                <w:b/>
              </w:rPr>
              <w:t>21</w:t>
            </w:r>
            <w:r w:rsidRPr="00D5267E">
              <w:rPr>
                <w:b/>
              </w:rPr>
              <w:t>)</w:t>
            </w:r>
          </w:p>
        </w:tc>
        <w:tc>
          <w:tcPr>
            <w:tcW w:w="2460" w:type="dxa"/>
          </w:tcPr>
          <w:p w:rsidR="00D5267E" w:rsidRPr="00D5267E" w:rsidRDefault="00D5267E" w:rsidP="0075179D">
            <w:pPr>
              <w:pStyle w:val="bParagraphtext"/>
              <w:numPr>
                <w:ilvl w:val="0"/>
                <w:numId w:val="0"/>
              </w:numPr>
              <w:tabs>
                <w:tab w:val="clear" w:pos="426"/>
                <w:tab w:val="left" w:pos="567"/>
              </w:tabs>
              <w:rPr>
                <w:b/>
              </w:rPr>
            </w:pPr>
            <w:r w:rsidRPr="00D5267E">
              <w:rPr>
                <w:b/>
              </w:rPr>
              <w:t xml:space="preserve">Now programmed for: (LDS </w:t>
            </w:r>
            <w:r w:rsidR="0075179D" w:rsidRPr="00D5267E">
              <w:rPr>
                <w:b/>
              </w:rPr>
              <w:t>201</w:t>
            </w:r>
            <w:r w:rsidR="0075179D">
              <w:rPr>
                <w:b/>
              </w:rPr>
              <w:t>9</w:t>
            </w:r>
            <w:r w:rsidRPr="00D5267E">
              <w:rPr>
                <w:b/>
              </w:rPr>
              <w:t>-</w:t>
            </w:r>
            <w:r w:rsidR="0075179D">
              <w:rPr>
                <w:b/>
              </w:rPr>
              <w:t>22</w:t>
            </w:r>
            <w:r w:rsidRPr="00D5267E">
              <w:rPr>
                <w:b/>
              </w:rPr>
              <w:t>)</w:t>
            </w:r>
          </w:p>
        </w:tc>
      </w:tr>
      <w:tr w:rsidR="00D5267E" w:rsidRPr="00D432D3" w:rsidTr="00D432D3">
        <w:tc>
          <w:tcPr>
            <w:tcW w:w="4111" w:type="dxa"/>
          </w:tcPr>
          <w:p w:rsidR="00D5267E" w:rsidRPr="00D432D3" w:rsidRDefault="00D5267E" w:rsidP="00D5267E">
            <w:pPr>
              <w:pStyle w:val="bParagraphtext"/>
              <w:numPr>
                <w:ilvl w:val="0"/>
                <w:numId w:val="0"/>
              </w:numPr>
              <w:tabs>
                <w:tab w:val="clear" w:pos="426"/>
                <w:tab w:val="left" w:pos="567"/>
              </w:tabs>
            </w:pPr>
            <w:r w:rsidRPr="00D432D3">
              <w:rPr>
                <w:rFonts w:cs="Arial"/>
                <w:color w:val="auto"/>
              </w:rPr>
              <w:t>Estimated date of adoption and publication</w:t>
            </w:r>
          </w:p>
        </w:tc>
        <w:tc>
          <w:tcPr>
            <w:tcW w:w="2268" w:type="dxa"/>
          </w:tcPr>
          <w:p w:rsidR="00D5267E" w:rsidRPr="00D432D3" w:rsidRDefault="0075179D" w:rsidP="00D5267E">
            <w:pPr>
              <w:pStyle w:val="bParagraphtext"/>
              <w:numPr>
                <w:ilvl w:val="0"/>
                <w:numId w:val="0"/>
              </w:numPr>
              <w:tabs>
                <w:tab w:val="clear" w:pos="426"/>
                <w:tab w:val="left" w:pos="567"/>
              </w:tabs>
            </w:pPr>
            <w:r>
              <w:t>December</w:t>
            </w:r>
            <w:r w:rsidRPr="00D432D3">
              <w:t xml:space="preserve"> </w:t>
            </w:r>
            <w:r w:rsidR="00D5267E" w:rsidRPr="00D432D3">
              <w:t>2019</w:t>
            </w:r>
          </w:p>
        </w:tc>
        <w:tc>
          <w:tcPr>
            <w:tcW w:w="2460" w:type="dxa"/>
            <w:shd w:val="clear" w:color="auto" w:fill="auto"/>
          </w:tcPr>
          <w:p w:rsidR="00D5267E" w:rsidRPr="00D432D3" w:rsidRDefault="001D1974" w:rsidP="0075179D">
            <w:pPr>
              <w:pStyle w:val="bParagraphtext"/>
              <w:numPr>
                <w:ilvl w:val="0"/>
                <w:numId w:val="0"/>
              </w:numPr>
              <w:tabs>
                <w:tab w:val="clear" w:pos="426"/>
                <w:tab w:val="left" w:pos="567"/>
              </w:tabs>
            </w:pPr>
            <w:r>
              <w:t>September</w:t>
            </w:r>
            <w:r w:rsidR="0075179D" w:rsidRPr="00D432D3">
              <w:t xml:space="preserve"> </w:t>
            </w:r>
            <w:r w:rsidR="0075179D">
              <w:t>2020</w:t>
            </w:r>
          </w:p>
        </w:tc>
      </w:tr>
    </w:tbl>
    <w:p w:rsidR="008E3D4F" w:rsidRDefault="008E3D4F" w:rsidP="00C1162B">
      <w:pPr>
        <w:pStyle w:val="bParagraphtext"/>
        <w:numPr>
          <w:ilvl w:val="0"/>
          <w:numId w:val="0"/>
        </w:numPr>
        <w:ind w:left="567"/>
      </w:pPr>
    </w:p>
    <w:p w:rsidR="00D5267E" w:rsidRDefault="00D91C25" w:rsidP="00C1162B">
      <w:pPr>
        <w:pStyle w:val="bParagraphtext"/>
        <w:numPr>
          <w:ilvl w:val="0"/>
          <w:numId w:val="0"/>
        </w:numPr>
        <w:ind w:left="567"/>
      </w:pPr>
      <w:r>
        <w:t>Examination Hearings are now taking place in December 201</w:t>
      </w:r>
      <w:r w:rsidR="00243237">
        <w:t>9</w:t>
      </w:r>
      <w:r>
        <w:t xml:space="preserve">; therefore the timetable has required </w:t>
      </w:r>
      <w:r w:rsidR="0039763E">
        <w:t xml:space="preserve">amendment </w:t>
      </w:r>
      <w:r>
        <w:t>to allow time for this to be undertaken and to receive the Inspectors</w:t>
      </w:r>
      <w:r w:rsidR="0039763E">
        <w:t>’</w:t>
      </w:r>
      <w:r>
        <w:t xml:space="preserve"> final report. </w:t>
      </w:r>
      <w:r w:rsidR="00C1162B">
        <w:t xml:space="preserve">The Local Plan timetable will still meet the milestones set out in the Oxfordshire Housing and Growth deal. </w:t>
      </w:r>
    </w:p>
    <w:p w:rsidR="00A310F6" w:rsidRDefault="000D2CA7" w:rsidP="00C66121">
      <w:pPr>
        <w:pStyle w:val="bParagraphtext"/>
        <w:numPr>
          <w:ilvl w:val="0"/>
          <w:numId w:val="34"/>
        </w:numPr>
        <w:tabs>
          <w:tab w:val="clear" w:pos="426"/>
          <w:tab w:val="left" w:pos="567"/>
        </w:tabs>
        <w:ind w:left="567" w:hanging="567"/>
      </w:pPr>
      <w:r>
        <w:t>It is</w:t>
      </w:r>
      <w:r w:rsidR="00F23099">
        <w:t xml:space="preserve"> expected that the Inspectors will </w:t>
      </w:r>
      <w:r w:rsidR="007B694F">
        <w:t>suggest</w:t>
      </w:r>
      <w:r w:rsidR="00F23099">
        <w:t xml:space="preserve"> main modifications to the Local</w:t>
      </w:r>
      <w:r w:rsidR="00C66121">
        <w:t xml:space="preserve"> </w:t>
      </w:r>
      <w:r w:rsidR="00F23099">
        <w:t>Plan, which wi</w:t>
      </w:r>
      <w:r w:rsidR="007B694F">
        <w:t xml:space="preserve">ll be consulted on. This consultation is for the Inspectors’ information and is part of the examination process so </w:t>
      </w:r>
      <w:r w:rsidR="0039763E">
        <w:t xml:space="preserve">will </w:t>
      </w:r>
      <w:r w:rsidR="007B694F">
        <w:t xml:space="preserve">not go to </w:t>
      </w:r>
      <w:r w:rsidR="00A02E99">
        <w:t xml:space="preserve">Council </w:t>
      </w:r>
      <w:r w:rsidR="007B694F">
        <w:t xml:space="preserve">for approval. Therefore, once the Inspectors have communicated their proposed main modifications these can be subjected to </w:t>
      </w:r>
      <w:r w:rsidR="00257860">
        <w:t xml:space="preserve">a </w:t>
      </w:r>
      <w:r w:rsidR="00D460CD">
        <w:t>sustainability appraisal</w:t>
      </w:r>
      <w:r w:rsidR="000953CD">
        <w:t xml:space="preserve">. </w:t>
      </w:r>
      <w:r w:rsidR="00D460CD">
        <w:t>National guidance states that</w:t>
      </w:r>
      <w:r w:rsidR="00F76E97">
        <w:t>,</w:t>
      </w:r>
      <w:r w:rsidR="00D460CD">
        <w:t xml:space="preserve"> “</w:t>
      </w:r>
      <w:r w:rsidR="00D460CD" w:rsidRPr="00D460CD">
        <w:t xml:space="preserve">A sustainability appraisal is a systematic process that must be carried out during the preparation of local plans and spatial development strategies. Its role is to promote sustainable development by assessing the extent to which the emerging plan, when judged against reasonable alternatives, will </w:t>
      </w:r>
      <w:r w:rsidR="00D460CD" w:rsidRPr="00D460CD">
        <w:lastRenderedPageBreak/>
        <w:t>help to achieve relevant environmental, economic and social objectives</w:t>
      </w:r>
      <w:r w:rsidR="00F76E97">
        <w:rPr>
          <w:rStyle w:val="FootnoteReference"/>
        </w:rPr>
        <w:footnoteReference w:id="1"/>
      </w:r>
      <w:r w:rsidR="00D460CD" w:rsidRPr="00D460CD">
        <w:t>.</w:t>
      </w:r>
      <w:r w:rsidR="00D460CD">
        <w:t>” National guidance also states that</w:t>
      </w:r>
      <w:r w:rsidR="00F76E97">
        <w:t>,</w:t>
      </w:r>
      <w:r w:rsidR="002D6258">
        <w:t xml:space="preserve"> </w:t>
      </w:r>
      <w:r w:rsidR="00F76E97">
        <w:t>“</w:t>
      </w:r>
      <w:r w:rsidR="00F76E97" w:rsidRPr="00F76E97">
        <w:t>If the plan-making body assesses that necessary changes are significant, and were not previously subject to sustainability appraisal, then further sustainability appraisal may be required and the sustainability appraisal report should be updated and amended accordingly</w:t>
      </w:r>
      <w:r w:rsidR="00F76E97">
        <w:rPr>
          <w:rStyle w:val="FootnoteReference"/>
        </w:rPr>
        <w:footnoteReference w:id="2"/>
      </w:r>
      <w:r w:rsidR="00F76E97">
        <w:t>.”</w:t>
      </w:r>
      <w:r w:rsidR="00192E4B">
        <w:t xml:space="preserve"> </w:t>
      </w:r>
      <w:r w:rsidR="002D6258">
        <w:t>The proposed main modifications and revised Sustainability Appraisal</w:t>
      </w:r>
      <w:r w:rsidR="00F76E97">
        <w:t xml:space="preserve"> (if necessary)</w:t>
      </w:r>
      <w:r w:rsidR="002D6258">
        <w:t xml:space="preserve"> would be </w:t>
      </w:r>
      <w:r w:rsidR="007B694F">
        <w:t>c</w:t>
      </w:r>
      <w:r w:rsidR="001D1974">
        <w:t>onsulted on</w:t>
      </w:r>
      <w:r w:rsidR="002D6258">
        <w:t xml:space="preserve"> by the Council</w:t>
      </w:r>
      <w:r w:rsidR="001D1974">
        <w:t>, which could be in April/May</w:t>
      </w:r>
      <w:r w:rsidR="007B694F">
        <w:t xml:space="preserve"> </w:t>
      </w:r>
      <w:r w:rsidR="0039763E">
        <w:t>2020</w:t>
      </w:r>
      <w:r w:rsidR="007B694F">
        <w:t>.</w:t>
      </w:r>
      <w:r w:rsidR="00671864">
        <w:t xml:space="preserve"> However, these timescales are indicative as </w:t>
      </w:r>
      <w:r w:rsidR="00540369">
        <w:t>the Council</w:t>
      </w:r>
      <w:r w:rsidR="00671864">
        <w:t xml:space="preserve"> do</w:t>
      </w:r>
      <w:r w:rsidR="00540369">
        <w:t>es</w:t>
      </w:r>
      <w:r w:rsidR="00671864">
        <w:t xml:space="preserve"> not have direct control over the timescales during the examination process.</w:t>
      </w:r>
    </w:p>
    <w:p w:rsidR="000D2CA7" w:rsidRDefault="007B694F" w:rsidP="008E3D4F">
      <w:pPr>
        <w:pStyle w:val="bParagraphtext"/>
        <w:numPr>
          <w:ilvl w:val="0"/>
          <w:numId w:val="34"/>
        </w:numPr>
        <w:tabs>
          <w:tab w:val="clear" w:pos="426"/>
          <w:tab w:val="left" w:pos="567"/>
        </w:tabs>
        <w:ind w:left="567" w:hanging="567"/>
      </w:pPr>
      <w:r>
        <w:t xml:space="preserve">The Inspectors </w:t>
      </w:r>
      <w:r w:rsidR="00A310F6">
        <w:t xml:space="preserve">would then </w:t>
      </w:r>
      <w:r>
        <w:t xml:space="preserve">consider the responses to the main modifications consultation in drafting their </w:t>
      </w:r>
      <w:r w:rsidR="00A310F6">
        <w:t xml:space="preserve">final </w:t>
      </w:r>
      <w:r>
        <w:t xml:space="preserve">report. Following receipt of the </w:t>
      </w:r>
      <w:r w:rsidR="00294A8B">
        <w:t xml:space="preserve">Inspectors’ </w:t>
      </w:r>
      <w:r>
        <w:t xml:space="preserve">report and a fact check the Local Plan </w:t>
      </w:r>
      <w:r w:rsidR="000041F6">
        <w:t>will need to be adopted by Council.</w:t>
      </w:r>
      <w:r>
        <w:t xml:space="preserve"> It is </w:t>
      </w:r>
      <w:r w:rsidR="000D2CA7">
        <w:t xml:space="preserve">intended that the draft Local Plan will be considered </w:t>
      </w:r>
      <w:r w:rsidR="009C27FE">
        <w:t>at</w:t>
      </w:r>
      <w:r>
        <w:t xml:space="preserve"> a</w:t>
      </w:r>
      <w:r w:rsidR="009C27FE">
        <w:t xml:space="preserve"> </w:t>
      </w:r>
      <w:r w:rsidR="00E83880">
        <w:t xml:space="preserve">Scrutiny </w:t>
      </w:r>
      <w:r w:rsidR="00A310F6">
        <w:t xml:space="preserve">Committee </w:t>
      </w:r>
      <w:r w:rsidR="00E83880">
        <w:t xml:space="preserve">meeting and </w:t>
      </w:r>
      <w:r w:rsidR="00A310F6">
        <w:t>a</w:t>
      </w:r>
      <w:r w:rsidR="00D91C25">
        <w:t xml:space="preserve"> Cabinet</w:t>
      </w:r>
      <w:r w:rsidR="000D2CA7">
        <w:t xml:space="preserve"> meeting</w:t>
      </w:r>
      <w:r w:rsidR="00A310F6">
        <w:t xml:space="preserve"> in August</w:t>
      </w:r>
      <w:r w:rsidR="000D2CA7">
        <w:t xml:space="preserve"> and</w:t>
      </w:r>
      <w:r w:rsidR="009C27FE">
        <w:t xml:space="preserve"> then </w:t>
      </w:r>
      <w:r w:rsidR="00A310F6">
        <w:t>presented to</w:t>
      </w:r>
      <w:r w:rsidR="00D91C25">
        <w:t xml:space="preserve"> </w:t>
      </w:r>
      <w:r w:rsidR="000D2CA7">
        <w:t xml:space="preserve">full Council </w:t>
      </w:r>
      <w:r w:rsidR="00A310F6">
        <w:t xml:space="preserve">in September </w:t>
      </w:r>
      <w:r w:rsidR="00540369">
        <w:t xml:space="preserve">2020 </w:t>
      </w:r>
      <w:r w:rsidR="00A310F6">
        <w:t xml:space="preserve">for </w:t>
      </w:r>
      <w:r w:rsidR="00F23099">
        <w:t>adoption</w:t>
      </w:r>
      <w:r w:rsidR="000D2CA7">
        <w:t xml:space="preserve">. </w:t>
      </w:r>
    </w:p>
    <w:p w:rsidR="008E3D4F" w:rsidRPr="008E3D4F" w:rsidRDefault="008E3D4F" w:rsidP="008E3D4F">
      <w:pPr>
        <w:pStyle w:val="bParagraphtext"/>
        <w:numPr>
          <w:ilvl w:val="0"/>
          <w:numId w:val="0"/>
        </w:numPr>
        <w:tabs>
          <w:tab w:val="clear" w:pos="426"/>
          <w:tab w:val="left" w:pos="567"/>
        </w:tabs>
        <w:ind w:left="567"/>
      </w:pPr>
    </w:p>
    <w:p w:rsidR="007218A0" w:rsidRPr="007218A0" w:rsidRDefault="00D91C25" w:rsidP="007218A0">
      <w:pPr>
        <w:pStyle w:val="bParagraphtext"/>
        <w:numPr>
          <w:ilvl w:val="0"/>
          <w:numId w:val="0"/>
        </w:numPr>
        <w:tabs>
          <w:tab w:val="clear" w:pos="426"/>
          <w:tab w:val="left" w:pos="567"/>
        </w:tabs>
        <w:rPr>
          <w:b/>
        </w:rPr>
      </w:pPr>
      <w:r>
        <w:rPr>
          <w:b/>
        </w:rPr>
        <w:t>Oxfordshire Plan 2050</w:t>
      </w:r>
    </w:p>
    <w:p w:rsidR="007218A0" w:rsidRPr="00D432D3" w:rsidRDefault="007218A0" w:rsidP="00D5267E">
      <w:pPr>
        <w:pStyle w:val="bParagraphtext"/>
        <w:numPr>
          <w:ilvl w:val="0"/>
          <w:numId w:val="34"/>
        </w:numPr>
        <w:tabs>
          <w:tab w:val="clear" w:pos="426"/>
          <w:tab w:val="left" w:pos="567"/>
        </w:tabs>
        <w:ind w:left="567" w:hanging="567"/>
      </w:pPr>
      <w:r>
        <w:t xml:space="preserve">The </w:t>
      </w:r>
      <w:r w:rsidR="00D91C25">
        <w:t>Oxfordshire</w:t>
      </w:r>
      <w:r>
        <w:t xml:space="preserve"> Plan </w:t>
      </w:r>
      <w:r w:rsidR="00D91C25">
        <w:t>2050</w:t>
      </w:r>
      <w:r>
        <w:t xml:space="preserve"> will contain strategic policies for Oxfordshire</w:t>
      </w:r>
      <w:r w:rsidR="00EB1BAF">
        <w:t xml:space="preserve"> for the period to 2050</w:t>
      </w:r>
      <w:r>
        <w:t xml:space="preserve">. A separate Local Development Scheme for this document will be brought to </w:t>
      </w:r>
      <w:r w:rsidR="00D91C25">
        <w:t xml:space="preserve">Cabinet </w:t>
      </w:r>
      <w:r w:rsidR="00A310F6">
        <w:t xml:space="preserve">for consideration </w:t>
      </w:r>
      <w:r>
        <w:t>in due course.</w:t>
      </w:r>
    </w:p>
    <w:p w:rsidR="0040736F" w:rsidRPr="00D432D3" w:rsidRDefault="002329CF" w:rsidP="004A6D2F">
      <w:pPr>
        <w:pStyle w:val="Heading1"/>
      </w:pPr>
      <w:r w:rsidRPr="00D432D3">
        <w:t>Financial implications</w:t>
      </w:r>
    </w:p>
    <w:p w:rsidR="00E87F7A" w:rsidRPr="001356F1" w:rsidRDefault="007075BE" w:rsidP="007075BE">
      <w:pPr>
        <w:pStyle w:val="ListParagraph"/>
        <w:numPr>
          <w:ilvl w:val="0"/>
          <w:numId w:val="34"/>
        </w:numPr>
        <w:tabs>
          <w:tab w:val="clear" w:pos="426"/>
          <w:tab w:val="left" w:pos="567"/>
        </w:tabs>
        <w:ind w:left="567" w:hanging="567"/>
      </w:pPr>
      <w:r w:rsidRPr="00D432D3">
        <w:rPr>
          <w:rFonts w:cs="Arial"/>
        </w:rPr>
        <w:t xml:space="preserve">The financial implications </w:t>
      </w:r>
      <w:r w:rsidR="009C27FE">
        <w:rPr>
          <w:rFonts w:cs="Arial"/>
        </w:rPr>
        <w:t xml:space="preserve">arising </w:t>
      </w:r>
      <w:r w:rsidRPr="00D432D3">
        <w:rPr>
          <w:rFonts w:cs="Arial"/>
        </w:rPr>
        <w:t>from producing a Local Plan include the costs of a Local Plan Examination</w:t>
      </w:r>
      <w:r w:rsidR="00EE4BF5">
        <w:rPr>
          <w:rFonts w:cs="Arial"/>
        </w:rPr>
        <w:t xml:space="preserve"> (including Counsel</w:t>
      </w:r>
      <w:r w:rsidR="00A310F6">
        <w:rPr>
          <w:rFonts w:cs="Arial"/>
        </w:rPr>
        <w:t>’s</w:t>
      </w:r>
      <w:r w:rsidR="00EE4BF5">
        <w:rPr>
          <w:rFonts w:cs="Arial"/>
        </w:rPr>
        <w:t xml:space="preserve"> advice)</w:t>
      </w:r>
      <w:r w:rsidRPr="00CA43B9">
        <w:rPr>
          <w:rFonts w:cs="Arial"/>
        </w:rPr>
        <w:t xml:space="preserve"> and independent technical analysis</w:t>
      </w:r>
      <w:r>
        <w:rPr>
          <w:rFonts w:cs="Arial"/>
        </w:rPr>
        <w:t xml:space="preserve"> of issues</w:t>
      </w:r>
      <w:r w:rsidRPr="00CA43B9">
        <w:rPr>
          <w:rFonts w:cs="Arial"/>
        </w:rPr>
        <w:t xml:space="preserve"> such as transport, environment and sustainability. Revenue to accommodate these anticipated costs was </w:t>
      </w:r>
      <w:r>
        <w:rPr>
          <w:rFonts w:cs="Arial"/>
        </w:rPr>
        <w:t>agreed</w:t>
      </w:r>
      <w:r w:rsidRPr="00CA43B9">
        <w:rPr>
          <w:rFonts w:cs="Arial"/>
        </w:rPr>
        <w:t xml:space="preserve"> in the 2016/17 budget report approved by </w:t>
      </w:r>
      <w:r w:rsidR="00F76E97">
        <w:rPr>
          <w:rFonts w:cs="Arial"/>
        </w:rPr>
        <w:t xml:space="preserve">Council. </w:t>
      </w:r>
    </w:p>
    <w:p w:rsidR="0040736F" w:rsidRPr="001356F1" w:rsidRDefault="00DA614B" w:rsidP="004A6D2F">
      <w:pPr>
        <w:pStyle w:val="Heading1"/>
      </w:pPr>
      <w:r w:rsidRPr="001356F1">
        <w:t>Legal issues</w:t>
      </w:r>
    </w:p>
    <w:p w:rsidR="007075BE" w:rsidRPr="006D2682" w:rsidRDefault="007075BE" w:rsidP="007075BE">
      <w:pPr>
        <w:pStyle w:val="ListParagraph"/>
        <w:numPr>
          <w:ilvl w:val="0"/>
          <w:numId w:val="34"/>
        </w:numPr>
        <w:tabs>
          <w:tab w:val="clear" w:pos="426"/>
        </w:tabs>
        <w:spacing w:after="0"/>
        <w:ind w:left="567" w:hanging="567"/>
        <w:contextualSpacing/>
        <w:rPr>
          <w:rFonts w:cs="Arial"/>
          <w:b/>
        </w:rPr>
      </w:pPr>
      <w:r w:rsidRPr="00CA43B9">
        <w:rPr>
          <w:rFonts w:cs="Arial"/>
        </w:rPr>
        <w:t>The preparation and publication of the Local Development Scheme is a statutory requirement under Section 15 of the Planning and Compulsory Purchase Act 2004 (as amended</w:t>
      </w:r>
      <w:r>
        <w:rPr>
          <w:rFonts w:cs="Arial"/>
        </w:rPr>
        <w:t>)</w:t>
      </w:r>
      <w:r w:rsidRPr="00F86D68">
        <w:rPr>
          <w:rFonts w:cs="Arial"/>
        </w:rPr>
        <w:t>.</w:t>
      </w:r>
      <w:r>
        <w:rPr>
          <w:rFonts w:cs="Arial"/>
        </w:rPr>
        <w:t xml:space="preserve"> </w:t>
      </w:r>
    </w:p>
    <w:p w:rsidR="007075BE" w:rsidRPr="007075BE" w:rsidRDefault="007075BE" w:rsidP="007075BE">
      <w:pPr>
        <w:ind w:left="426" w:hanging="426"/>
        <w:rPr>
          <w:rFonts w:cs="Arial"/>
          <w:b/>
        </w:rPr>
      </w:pPr>
    </w:p>
    <w:p w:rsidR="007075BE" w:rsidRPr="007075BE" w:rsidRDefault="007075BE" w:rsidP="007075BE">
      <w:pPr>
        <w:pStyle w:val="ListParagraph"/>
        <w:numPr>
          <w:ilvl w:val="0"/>
          <w:numId w:val="34"/>
        </w:numPr>
        <w:tabs>
          <w:tab w:val="clear" w:pos="426"/>
        </w:tabs>
        <w:spacing w:after="0"/>
        <w:ind w:left="567" w:hanging="567"/>
        <w:contextualSpacing/>
        <w:rPr>
          <w:rFonts w:cs="Arial"/>
          <w:b/>
        </w:rPr>
      </w:pPr>
      <w:r w:rsidRPr="006D2682">
        <w:rPr>
          <w:rFonts w:cs="Arial"/>
        </w:rPr>
        <w:t xml:space="preserve">The </w:t>
      </w:r>
      <w:r>
        <w:rPr>
          <w:rFonts w:cs="Arial"/>
        </w:rPr>
        <w:t>Council is</w:t>
      </w:r>
      <w:r w:rsidRPr="006D2682">
        <w:rPr>
          <w:rFonts w:cs="Arial"/>
        </w:rPr>
        <w:t xml:space="preserve"> required </w:t>
      </w:r>
      <w:r>
        <w:rPr>
          <w:rFonts w:cs="Arial"/>
        </w:rPr>
        <w:t xml:space="preserve">to monitor compliance </w:t>
      </w:r>
      <w:r w:rsidR="00A310F6">
        <w:rPr>
          <w:rFonts w:cs="Arial"/>
        </w:rPr>
        <w:t xml:space="preserve">of </w:t>
      </w:r>
      <w:r>
        <w:rPr>
          <w:rFonts w:cs="Arial"/>
        </w:rPr>
        <w:t xml:space="preserve">the timescales for document production and revision set out in the LDS and to make this information publicly available. Compliance with the LDS is monitored and published through the </w:t>
      </w:r>
      <w:r w:rsidR="00A310F6">
        <w:rPr>
          <w:rFonts w:cs="Arial"/>
        </w:rPr>
        <w:t xml:space="preserve">Council’s </w:t>
      </w:r>
      <w:r>
        <w:rPr>
          <w:rFonts w:cs="Arial"/>
        </w:rPr>
        <w:t>Annual Monitoring Report.</w:t>
      </w:r>
    </w:p>
    <w:p w:rsidR="002329CF" w:rsidRPr="001356F1" w:rsidRDefault="002329CF" w:rsidP="004A6D2F">
      <w:pPr>
        <w:pStyle w:val="Heading1"/>
      </w:pPr>
      <w:r w:rsidRPr="001356F1">
        <w:t>Level of risk</w:t>
      </w:r>
    </w:p>
    <w:p w:rsidR="007075BE" w:rsidRDefault="007075BE" w:rsidP="007075BE">
      <w:pPr>
        <w:pStyle w:val="CommentText"/>
        <w:numPr>
          <w:ilvl w:val="0"/>
          <w:numId w:val="34"/>
        </w:numPr>
        <w:spacing w:after="0"/>
        <w:ind w:left="567" w:hanging="567"/>
        <w:rPr>
          <w:rFonts w:cs="Arial"/>
          <w:sz w:val="24"/>
          <w:szCs w:val="24"/>
        </w:rPr>
      </w:pPr>
      <w:r w:rsidRPr="00C4548C">
        <w:rPr>
          <w:rFonts w:cs="Arial"/>
          <w:sz w:val="24"/>
          <w:szCs w:val="24"/>
        </w:rPr>
        <w:t>A risk asse</w:t>
      </w:r>
      <w:r>
        <w:rPr>
          <w:rFonts w:cs="Arial"/>
          <w:sz w:val="24"/>
          <w:szCs w:val="24"/>
        </w:rPr>
        <w:t xml:space="preserve">ssment has been undertaken </w:t>
      </w:r>
      <w:r w:rsidRPr="00C4548C">
        <w:rPr>
          <w:rFonts w:cs="Arial"/>
          <w:sz w:val="24"/>
          <w:szCs w:val="24"/>
        </w:rPr>
        <w:t xml:space="preserve">(Appendix 2).  All risks have been mitigated to an acceptable level. </w:t>
      </w:r>
    </w:p>
    <w:p w:rsidR="00F800DC" w:rsidRDefault="00F800DC" w:rsidP="0050321C">
      <w:pPr>
        <w:pStyle w:val="Heading1"/>
      </w:pPr>
    </w:p>
    <w:p w:rsidR="002329CF" w:rsidRDefault="002329CF" w:rsidP="0050321C">
      <w:pPr>
        <w:pStyle w:val="Heading1"/>
      </w:pPr>
      <w:r w:rsidRPr="001356F1">
        <w:t xml:space="preserve">Equalities impact </w:t>
      </w:r>
    </w:p>
    <w:p w:rsidR="00F800DC" w:rsidRPr="00F800DC" w:rsidRDefault="00F800DC" w:rsidP="00F800DC"/>
    <w:p w:rsidR="007075BE" w:rsidRPr="007075BE" w:rsidRDefault="007075BE" w:rsidP="007075BE">
      <w:pPr>
        <w:pStyle w:val="ListParagraph"/>
        <w:numPr>
          <w:ilvl w:val="0"/>
          <w:numId w:val="34"/>
        </w:numPr>
        <w:tabs>
          <w:tab w:val="clear" w:pos="426"/>
          <w:tab w:val="left" w:pos="567"/>
        </w:tabs>
        <w:spacing w:after="0"/>
        <w:ind w:left="567" w:hanging="567"/>
        <w:rPr>
          <w:rFonts w:cs="Arial"/>
          <w:b/>
          <w:color w:val="auto"/>
          <w:sz w:val="20"/>
          <w:szCs w:val="20"/>
          <w:lang w:eastAsia="en-US"/>
        </w:rPr>
      </w:pPr>
      <w:r w:rsidRPr="007075BE">
        <w:rPr>
          <w:rFonts w:cs="Arial"/>
          <w:color w:val="auto"/>
        </w:rPr>
        <w:t>There are no equalities impacts arising from this report.</w:t>
      </w:r>
      <w:r w:rsidRPr="007075BE">
        <w:rPr>
          <w:rFonts w:cs="Arial"/>
          <w:b/>
          <w:color w:val="auto"/>
          <w:sz w:val="20"/>
          <w:szCs w:val="20"/>
          <w:lang w:eastAsia="en-US"/>
        </w:rPr>
        <w:t xml:space="preserve"> </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A707C1" w:rsidRDefault="00DA2693" w:rsidP="00A46E98">
            <w:r>
              <w:t>Keerpa Patel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A707C1" w:rsidRDefault="00DA2693" w:rsidP="00A46E98">
            <w:r>
              <w:t xml:space="preserve">Senior </w:t>
            </w:r>
            <w:r w:rsidR="00A707C1">
              <w:t>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A707C1" w:rsidRDefault="00A707C1" w:rsidP="00A46E98">
            <w:r w:rsidRPr="00A707C1">
              <w:t>Planning Policy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A707C1" w:rsidRDefault="00E87F7A" w:rsidP="00DA2693">
            <w:r w:rsidRPr="00A707C1">
              <w:t xml:space="preserve">01865 </w:t>
            </w:r>
            <w:r w:rsidR="00DA2693">
              <w:t>335444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A707C1" w:rsidRDefault="00DA2693" w:rsidP="00A46E98">
            <w:pPr>
              <w:rPr>
                <w:rStyle w:val="Hyperlink"/>
                <w:color w:val="000000"/>
              </w:rPr>
            </w:pPr>
            <w:r>
              <w:rPr>
                <w:rStyle w:val="Hyperlink"/>
                <w:color w:val="000000"/>
              </w:rPr>
              <w:t>kpatel</w:t>
            </w:r>
            <w:r w:rsidR="00A707C1" w:rsidRPr="00A707C1">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F0" w:rsidRDefault="00C70BF0" w:rsidP="004A6D2F">
      <w:r>
        <w:separator/>
      </w:r>
    </w:p>
  </w:endnote>
  <w:endnote w:type="continuationSeparator" w:id="0">
    <w:p w:rsidR="00C70BF0" w:rsidRDefault="00C70BF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F0" w:rsidRDefault="00C70BF0" w:rsidP="004A6D2F">
      <w:r>
        <w:separator/>
      </w:r>
    </w:p>
  </w:footnote>
  <w:footnote w:type="continuationSeparator" w:id="0">
    <w:p w:rsidR="00C70BF0" w:rsidRDefault="00C70BF0" w:rsidP="004A6D2F">
      <w:r>
        <w:continuationSeparator/>
      </w:r>
    </w:p>
  </w:footnote>
  <w:footnote w:id="1">
    <w:p w:rsidR="00F76E97" w:rsidRDefault="00F76E97">
      <w:pPr>
        <w:pStyle w:val="FootnoteText"/>
      </w:pPr>
      <w:r>
        <w:rPr>
          <w:rStyle w:val="FootnoteReference"/>
        </w:rPr>
        <w:footnoteRef/>
      </w:r>
      <w:r>
        <w:t xml:space="preserve"> Natio</w:t>
      </w:r>
      <w:r w:rsidR="008E25B3">
        <w:t xml:space="preserve">nal Planning Practice Guidance - </w:t>
      </w:r>
      <w:r w:rsidRPr="00D460CD">
        <w:t>Paragraph: 001 Reference ID: 11-001-20190722</w:t>
      </w:r>
    </w:p>
  </w:footnote>
  <w:footnote w:id="2">
    <w:p w:rsidR="00F76E97" w:rsidRDefault="00F76E97">
      <w:pPr>
        <w:pStyle w:val="FootnoteText"/>
      </w:pPr>
      <w:r>
        <w:rPr>
          <w:rStyle w:val="FootnoteReference"/>
        </w:rPr>
        <w:footnoteRef/>
      </w:r>
      <w:r>
        <w:t xml:space="preserve"> Nati</w:t>
      </w:r>
      <w:r w:rsidR="008E25B3">
        <w:t xml:space="preserve">onal Planning Practice Guidance - </w:t>
      </w:r>
      <w:r w:rsidRPr="00F76E97">
        <w:t>Paragraph: 023 Reference ID: 11-023-20140306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F320E" w:rsidP="00D5547E">
    <w:pPr>
      <w:pStyle w:val="Header"/>
      <w:jc w:val="right"/>
    </w:pPr>
    <w:r>
      <w:rPr>
        <w:noProof/>
      </w:rPr>
      <w:drawing>
        <wp:inline distT="0" distB="0" distL="0" distR="0" wp14:anchorId="685BD3DE" wp14:editId="25DBCBB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0411E9"/>
    <w:multiLevelType w:val="hybridMultilevel"/>
    <w:tmpl w:val="4C8AB0C4"/>
    <w:lvl w:ilvl="0" w:tplc="E936647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0C2662"/>
    <w:multiLevelType w:val="hybridMultilevel"/>
    <w:tmpl w:val="4C8AB0C4"/>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abstractNum w:abstractNumId="35">
    <w:nsid w:val="7E85170F"/>
    <w:multiLevelType w:val="hybridMultilevel"/>
    <w:tmpl w:val="4C8AB0C4"/>
    <w:lvl w:ilvl="0" w:tplc="E936647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19"/>
  </w:num>
  <w:num w:numId="5">
    <w:abstractNumId w:val="29"/>
  </w:num>
  <w:num w:numId="6">
    <w:abstractNumId w:val="33"/>
  </w:num>
  <w:num w:numId="7">
    <w:abstractNumId w:val="23"/>
  </w:num>
  <w:num w:numId="8">
    <w:abstractNumId w:val="21"/>
  </w:num>
  <w:num w:numId="9">
    <w:abstractNumId w:val="14"/>
  </w:num>
  <w:num w:numId="10">
    <w:abstractNumId w:val="16"/>
  </w:num>
  <w:num w:numId="11">
    <w:abstractNumId w:val="26"/>
  </w:num>
  <w:num w:numId="12">
    <w:abstractNumId w:val="25"/>
  </w:num>
  <w:num w:numId="13">
    <w:abstractNumId w:val="11"/>
  </w:num>
  <w:num w:numId="14">
    <w:abstractNumId w:val="34"/>
  </w:num>
  <w:num w:numId="15">
    <w:abstractNumId w:val="17"/>
  </w:num>
  <w:num w:numId="16">
    <w:abstractNumId w:val="12"/>
  </w:num>
  <w:num w:numId="17">
    <w:abstractNumId w:val="28"/>
  </w:num>
  <w:num w:numId="18">
    <w:abstractNumId w:val="13"/>
  </w:num>
  <w:num w:numId="19">
    <w:abstractNumId w:val="30"/>
  </w:num>
  <w:num w:numId="20">
    <w:abstractNumId w:val="18"/>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0"/>
  </w:num>
  <w:num w:numId="36">
    <w:abstractNumId w:val="3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0E"/>
    <w:rsid w:val="000041F6"/>
    <w:rsid w:val="000117D4"/>
    <w:rsid w:val="00012C3E"/>
    <w:rsid w:val="000314D7"/>
    <w:rsid w:val="00045F8B"/>
    <w:rsid w:val="00046D2B"/>
    <w:rsid w:val="00056263"/>
    <w:rsid w:val="00064D8A"/>
    <w:rsid w:val="00064F82"/>
    <w:rsid w:val="00066510"/>
    <w:rsid w:val="00077523"/>
    <w:rsid w:val="00094872"/>
    <w:rsid w:val="000953CD"/>
    <w:rsid w:val="000A256A"/>
    <w:rsid w:val="000C089F"/>
    <w:rsid w:val="000C3928"/>
    <w:rsid w:val="000C5E8E"/>
    <w:rsid w:val="000D2CA7"/>
    <w:rsid w:val="000F4751"/>
    <w:rsid w:val="0010524C"/>
    <w:rsid w:val="00111FB1"/>
    <w:rsid w:val="00113418"/>
    <w:rsid w:val="001356F1"/>
    <w:rsid w:val="00136994"/>
    <w:rsid w:val="0014128E"/>
    <w:rsid w:val="00151888"/>
    <w:rsid w:val="00170A2D"/>
    <w:rsid w:val="001808BC"/>
    <w:rsid w:val="00182B81"/>
    <w:rsid w:val="0018619D"/>
    <w:rsid w:val="00192E4B"/>
    <w:rsid w:val="001A011E"/>
    <w:rsid w:val="001A066A"/>
    <w:rsid w:val="001A13E6"/>
    <w:rsid w:val="001A5731"/>
    <w:rsid w:val="001B42C3"/>
    <w:rsid w:val="001B7540"/>
    <w:rsid w:val="001C5D5E"/>
    <w:rsid w:val="001D1974"/>
    <w:rsid w:val="001D678D"/>
    <w:rsid w:val="001E03F8"/>
    <w:rsid w:val="001E1678"/>
    <w:rsid w:val="001E3376"/>
    <w:rsid w:val="00203BD0"/>
    <w:rsid w:val="002069B3"/>
    <w:rsid w:val="002329CF"/>
    <w:rsid w:val="00232F5B"/>
    <w:rsid w:val="00235C25"/>
    <w:rsid w:val="00243237"/>
    <w:rsid w:val="002479AF"/>
    <w:rsid w:val="00247C29"/>
    <w:rsid w:val="00257860"/>
    <w:rsid w:val="00260467"/>
    <w:rsid w:val="00263EA3"/>
    <w:rsid w:val="00284F85"/>
    <w:rsid w:val="00290915"/>
    <w:rsid w:val="00290C82"/>
    <w:rsid w:val="00294A8B"/>
    <w:rsid w:val="002A22E2"/>
    <w:rsid w:val="002C64F7"/>
    <w:rsid w:val="002D6258"/>
    <w:rsid w:val="002F41F2"/>
    <w:rsid w:val="00301BF3"/>
    <w:rsid w:val="0030208D"/>
    <w:rsid w:val="00323418"/>
    <w:rsid w:val="003357BF"/>
    <w:rsid w:val="00364FAD"/>
    <w:rsid w:val="0036738F"/>
    <w:rsid w:val="0036759C"/>
    <w:rsid w:val="00367AE5"/>
    <w:rsid w:val="00367D71"/>
    <w:rsid w:val="0038150A"/>
    <w:rsid w:val="00387B04"/>
    <w:rsid w:val="0039763E"/>
    <w:rsid w:val="003B543B"/>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00F9"/>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0369"/>
    <w:rsid w:val="0054712D"/>
    <w:rsid w:val="00547EF6"/>
    <w:rsid w:val="005570B5"/>
    <w:rsid w:val="00567E18"/>
    <w:rsid w:val="005741C9"/>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0EBB"/>
    <w:rsid w:val="00633578"/>
    <w:rsid w:val="00637068"/>
    <w:rsid w:val="00650811"/>
    <w:rsid w:val="00661D3E"/>
    <w:rsid w:val="00671864"/>
    <w:rsid w:val="00685FCB"/>
    <w:rsid w:val="00692627"/>
    <w:rsid w:val="00695295"/>
    <w:rsid w:val="006969E7"/>
    <w:rsid w:val="006A3643"/>
    <w:rsid w:val="006C2A29"/>
    <w:rsid w:val="006C64CF"/>
    <w:rsid w:val="006D17B1"/>
    <w:rsid w:val="006D4752"/>
    <w:rsid w:val="006D708A"/>
    <w:rsid w:val="006E14C1"/>
    <w:rsid w:val="006F0292"/>
    <w:rsid w:val="006F27FA"/>
    <w:rsid w:val="006F416B"/>
    <w:rsid w:val="006F519B"/>
    <w:rsid w:val="007075BE"/>
    <w:rsid w:val="00713675"/>
    <w:rsid w:val="00715823"/>
    <w:rsid w:val="007218A0"/>
    <w:rsid w:val="00737B93"/>
    <w:rsid w:val="00745BF0"/>
    <w:rsid w:val="0075179D"/>
    <w:rsid w:val="007615FE"/>
    <w:rsid w:val="00763820"/>
    <w:rsid w:val="0076655C"/>
    <w:rsid w:val="007742DC"/>
    <w:rsid w:val="00791437"/>
    <w:rsid w:val="007B0C2C"/>
    <w:rsid w:val="007B278E"/>
    <w:rsid w:val="007B694F"/>
    <w:rsid w:val="007C5C23"/>
    <w:rsid w:val="007D0026"/>
    <w:rsid w:val="007E2A26"/>
    <w:rsid w:val="007F2348"/>
    <w:rsid w:val="00803F07"/>
    <w:rsid w:val="0080749A"/>
    <w:rsid w:val="00821FB8"/>
    <w:rsid w:val="00822ACD"/>
    <w:rsid w:val="00837CF7"/>
    <w:rsid w:val="00855C66"/>
    <w:rsid w:val="00871EE4"/>
    <w:rsid w:val="00880715"/>
    <w:rsid w:val="008B293F"/>
    <w:rsid w:val="008B7371"/>
    <w:rsid w:val="008D3DDB"/>
    <w:rsid w:val="008E25B3"/>
    <w:rsid w:val="008E3D4F"/>
    <w:rsid w:val="008F573F"/>
    <w:rsid w:val="009034EC"/>
    <w:rsid w:val="0093067A"/>
    <w:rsid w:val="00941C60"/>
    <w:rsid w:val="009564AA"/>
    <w:rsid w:val="00966D42"/>
    <w:rsid w:val="00971689"/>
    <w:rsid w:val="00973E90"/>
    <w:rsid w:val="00975B07"/>
    <w:rsid w:val="00980B4A"/>
    <w:rsid w:val="009838FF"/>
    <w:rsid w:val="009C27FE"/>
    <w:rsid w:val="009E3D0A"/>
    <w:rsid w:val="009E51FC"/>
    <w:rsid w:val="009F1D28"/>
    <w:rsid w:val="009F7618"/>
    <w:rsid w:val="00A02E99"/>
    <w:rsid w:val="00A04D23"/>
    <w:rsid w:val="00A06766"/>
    <w:rsid w:val="00A13765"/>
    <w:rsid w:val="00A21B12"/>
    <w:rsid w:val="00A23F80"/>
    <w:rsid w:val="00A310F6"/>
    <w:rsid w:val="00A46E98"/>
    <w:rsid w:val="00A50CE4"/>
    <w:rsid w:val="00A6352B"/>
    <w:rsid w:val="00A701B5"/>
    <w:rsid w:val="00A707C1"/>
    <w:rsid w:val="00A714BB"/>
    <w:rsid w:val="00A92D8F"/>
    <w:rsid w:val="00AB2988"/>
    <w:rsid w:val="00AB6A61"/>
    <w:rsid w:val="00AB7999"/>
    <w:rsid w:val="00AD3292"/>
    <w:rsid w:val="00AE7AF0"/>
    <w:rsid w:val="00B500CA"/>
    <w:rsid w:val="00B86314"/>
    <w:rsid w:val="00BA1C2E"/>
    <w:rsid w:val="00BC200B"/>
    <w:rsid w:val="00BC4756"/>
    <w:rsid w:val="00BC69A4"/>
    <w:rsid w:val="00BE0680"/>
    <w:rsid w:val="00BE305F"/>
    <w:rsid w:val="00BE7BA3"/>
    <w:rsid w:val="00BF320E"/>
    <w:rsid w:val="00BF5682"/>
    <w:rsid w:val="00BF7B09"/>
    <w:rsid w:val="00C1162B"/>
    <w:rsid w:val="00C20A95"/>
    <w:rsid w:val="00C2692F"/>
    <w:rsid w:val="00C3207C"/>
    <w:rsid w:val="00C400E1"/>
    <w:rsid w:val="00C41187"/>
    <w:rsid w:val="00C63C31"/>
    <w:rsid w:val="00C66121"/>
    <w:rsid w:val="00C70BF0"/>
    <w:rsid w:val="00C757A0"/>
    <w:rsid w:val="00C760DE"/>
    <w:rsid w:val="00C82630"/>
    <w:rsid w:val="00C85B4E"/>
    <w:rsid w:val="00C907F7"/>
    <w:rsid w:val="00CA2103"/>
    <w:rsid w:val="00CB6B99"/>
    <w:rsid w:val="00CC1708"/>
    <w:rsid w:val="00CE4C87"/>
    <w:rsid w:val="00CE544A"/>
    <w:rsid w:val="00D11E1C"/>
    <w:rsid w:val="00D160B0"/>
    <w:rsid w:val="00D17F94"/>
    <w:rsid w:val="00D223FC"/>
    <w:rsid w:val="00D26D1E"/>
    <w:rsid w:val="00D432D3"/>
    <w:rsid w:val="00D460CD"/>
    <w:rsid w:val="00D474CF"/>
    <w:rsid w:val="00D5267E"/>
    <w:rsid w:val="00D5547E"/>
    <w:rsid w:val="00D869A1"/>
    <w:rsid w:val="00D91C25"/>
    <w:rsid w:val="00DA2693"/>
    <w:rsid w:val="00DA413F"/>
    <w:rsid w:val="00DA4584"/>
    <w:rsid w:val="00DA614B"/>
    <w:rsid w:val="00DC3060"/>
    <w:rsid w:val="00DE0FB2"/>
    <w:rsid w:val="00DF093E"/>
    <w:rsid w:val="00E01F42"/>
    <w:rsid w:val="00E14F4A"/>
    <w:rsid w:val="00E206D6"/>
    <w:rsid w:val="00E3366E"/>
    <w:rsid w:val="00E52086"/>
    <w:rsid w:val="00E543A6"/>
    <w:rsid w:val="00E60479"/>
    <w:rsid w:val="00E61D73"/>
    <w:rsid w:val="00E73684"/>
    <w:rsid w:val="00E818D6"/>
    <w:rsid w:val="00E83880"/>
    <w:rsid w:val="00E87F7A"/>
    <w:rsid w:val="00E96BD7"/>
    <w:rsid w:val="00EA0DB1"/>
    <w:rsid w:val="00EA0EE9"/>
    <w:rsid w:val="00EB1BAF"/>
    <w:rsid w:val="00ED52CA"/>
    <w:rsid w:val="00ED5860"/>
    <w:rsid w:val="00EE35C9"/>
    <w:rsid w:val="00EE47ED"/>
    <w:rsid w:val="00EE4BF5"/>
    <w:rsid w:val="00F05ECA"/>
    <w:rsid w:val="00F15653"/>
    <w:rsid w:val="00F23099"/>
    <w:rsid w:val="00F3566E"/>
    <w:rsid w:val="00F375FB"/>
    <w:rsid w:val="00F41AC1"/>
    <w:rsid w:val="00F4367A"/>
    <w:rsid w:val="00F445B1"/>
    <w:rsid w:val="00F45CD4"/>
    <w:rsid w:val="00F66DCA"/>
    <w:rsid w:val="00F72FB1"/>
    <w:rsid w:val="00F74F53"/>
    <w:rsid w:val="00F7606D"/>
    <w:rsid w:val="00F76E97"/>
    <w:rsid w:val="00F800DC"/>
    <w:rsid w:val="00F81670"/>
    <w:rsid w:val="00F82024"/>
    <w:rsid w:val="00F83C9F"/>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D460CD"/>
    <w:pPr>
      <w:spacing w:after="0"/>
    </w:pPr>
    <w:rPr>
      <w:sz w:val="20"/>
      <w:szCs w:val="20"/>
    </w:rPr>
  </w:style>
  <w:style w:type="character" w:customStyle="1" w:styleId="FootnoteTextChar">
    <w:name w:val="Footnote Text Char"/>
    <w:basedOn w:val="DefaultParagraphFont"/>
    <w:link w:val="FootnoteText"/>
    <w:rsid w:val="00D460CD"/>
    <w:rPr>
      <w:color w:val="000000"/>
    </w:rPr>
  </w:style>
  <w:style w:type="character" w:styleId="FootnoteReference">
    <w:name w:val="footnote reference"/>
    <w:basedOn w:val="DefaultParagraphFont"/>
    <w:rsid w:val="00D46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D460CD"/>
    <w:pPr>
      <w:spacing w:after="0"/>
    </w:pPr>
    <w:rPr>
      <w:sz w:val="20"/>
      <w:szCs w:val="20"/>
    </w:rPr>
  </w:style>
  <w:style w:type="character" w:customStyle="1" w:styleId="FootnoteTextChar">
    <w:name w:val="Footnote Text Char"/>
    <w:basedOn w:val="DefaultParagraphFont"/>
    <w:link w:val="FootnoteText"/>
    <w:rsid w:val="00D460CD"/>
    <w:rPr>
      <w:color w:val="000000"/>
    </w:rPr>
  </w:style>
  <w:style w:type="character" w:styleId="FootnoteReference">
    <w:name w:val="footnote reference"/>
    <w:basedOn w:val="DefaultParagraphFont"/>
    <w:rsid w:val="00D46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liams\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6E8D-197F-498B-B95D-E6B5BC28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7</TotalTime>
  <Pages>4</Pages>
  <Words>1022</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JMitchell</cp:lastModifiedBy>
  <cp:revision>6</cp:revision>
  <cp:lastPrinted>2019-10-07T11:11:00Z</cp:lastPrinted>
  <dcterms:created xsi:type="dcterms:W3CDTF">2019-10-18T09:24:00Z</dcterms:created>
  <dcterms:modified xsi:type="dcterms:W3CDTF">2019-10-28T13:27:00Z</dcterms:modified>
</cp:coreProperties>
</file>